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99B67" w14:textId="77777777" w:rsidR="00EF683D" w:rsidRPr="00397BA9" w:rsidRDefault="00357829">
      <w:pPr>
        <w:pStyle w:val="Standard"/>
        <w:rPr>
          <w:rFonts w:hint="eastAsia"/>
          <w:sz w:val="20"/>
          <w:szCs w:val="20"/>
        </w:rPr>
      </w:pPr>
      <w:r w:rsidRPr="00397BA9">
        <w:rPr>
          <w:rStyle w:val="StrongEmphasis"/>
          <w:rFonts w:ascii="Arial" w:hAnsi="Arial"/>
          <w:b w:val="0"/>
          <w:bCs w:val="0"/>
          <w:color w:val="000000"/>
          <w:sz w:val="20"/>
          <w:szCs w:val="20"/>
        </w:rPr>
        <w:t>Al Ministerio de Agricultura, Pesca y Alimentación.</w:t>
      </w:r>
    </w:p>
    <w:p w14:paraId="777B7D81" w14:textId="77777777" w:rsidR="00EF683D" w:rsidRPr="00397BA9" w:rsidRDefault="00EF683D">
      <w:pPr>
        <w:pStyle w:val="Standard"/>
        <w:rPr>
          <w:rFonts w:hint="eastAsia"/>
          <w:sz w:val="20"/>
          <w:szCs w:val="20"/>
        </w:rPr>
      </w:pPr>
    </w:p>
    <w:p w14:paraId="578ABBD1" w14:textId="77777777" w:rsidR="00EF683D" w:rsidRPr="00397BA9" w:rsidRDefault="00EF683D">
      <w:pPr>
        <w:pStyle w:val="Standard"/>
        <w:rPr>
          <w:rFonts w:hint="eastAsia"/>
          <w:sz w:val="20"/>
          <w:szCs w:val="20"/>
        </w:rPr>
      </w:pPr>
    </w:p>
    <w:p w14:paraId="005427CE" w14:textId="61B4B1A9" w:rsidR="00EF683D" w:rsidRPr="00397BA9" w:rsidRDefault="00357829">
      <w:pPr>
        <w:pStyle w:val="Standard"/>
        <w:jc w:val="center"/>
        <w:rPr>
          <w:rFonts w:hint="eastAsia"/>
          <w:sz w:val="20"/>
          <w:szCs w:val="20"/>
          <w:u w:val="single"/>
        </w:rPr>
      </w:pPr>
      <w:r w:rsidRPr="00397BA9">
        <w:rPr>
          <w:rStyle w:val="StrongEmphasis"/>
          <w:rFonts w:ascii="Arial" w:hAnsi="Arial"/>
          <w:color w:val="000000"/>
          <w:sz w:val="22"/>
          <w:szCs w:val="22"/>
          <w:u w:val="single"/>
        </w:rPr>
        <w:t>ESCRITO</w:t>
      </w:r>
      <w:r w:rsidR="00FB254D" w:rsidRPr="00397BA9">
        <w:rPr>
          <w:rStyle w:val="StrongEmphasis"/>
          <w:rFonts w:ascii="Arial" w:hAnsi="Arial"/>
          <w:color w:val="000000"/>
          <w:sz w:val="22"/>
          <w:szCs w:val="22"/>
          <w:u w:val="single"/>
        </w:rPr>
        <w:t xml:space="preserve"> INDIVIDUAL </w:t>
      </w:r>
      <w:r w:rsidRPr="00397BA9">
        <w:rPr>
          <w:rStyle w:val="StrongEmphasis"/>
          <w:rFonts w:ascii="Arial" w:hAnsi="Arial"/>
          <w:color w:val="000000"/>
          <w:sz w:val="22"/>
          <w:szCs w:val="22"/>
          <w:u w:val="single"/>
        </w:rPr>
        <w:t xml:space="preserve"> DE ALEGACIONES</w:t>
      </w:r>
    </w:p>
    <w:p w14:paraId="3787CC60" w14:textId="77777777" w:rsidR="00EF683D" w:rsidRPr="00397BA9" w:rsidRDefault="00EF683D">
      <w:pPr>
        <w:pStyle w:val="Standard"/>
        <w:rPr>
          <w:rFonts w:hint="eastAsia"/>
          <w:sz w:val="20"/>
          <w:szCs w:val="20"/>
        </w:rPr>
      </w:pPr>
    </w:p>
    <w:p w14:paraId="4E6F50ED" w14:textId="0BCE7FAD" w:rsidR="004A6548" w:rsidRPr="00397BA9" w:rsidRDefault="00FB254D">
      <w:pPr>
        <w:pStyle w:val="Standard"/>
        <w:jc w:val="both"/>
        <w:rPr>
          <w:rFonts w:hint="eastAsia"/>
          <w:sz w:val="20"/>
          <w:szCs w:val="20"/>
        </w:rPr>
      </w:pPr>
      <w:r w:rsidRPr="00397BA9">
        <w:rPr>
          <w:sz w:val="20"/>
          <w:szCs w:val="20"/>
        </w:rPr>
        <w:t>NOMBRE Y APELLIDOS :</w:t>
      </w:r>
    </w:p>
    <w:p w14:paraId="0C04C187" w14:textId="776567BB" w:rsidR="00FB254D" w:rsidRPr="00397BA9" w:rsidRDefault="00FB254D">
      <w:pPr>
        <w:pStyle w:val="Standard"/>
        <w:jc w:val="both"/>
        <w:rPr>
          <w:rFonts w:hint="eastAsia"/>
          <w:sz w:val="20"/>
          <w:szCs w:val="20"/>
        </w:rPr>
      </w:pPr>
      <w:r w:rsidRPr="00397BA9">
        <w:rPr>
          <w:sz w:val="20"/>
          <w:szCs w:val="20"/>
        </w:rPr>
        <w:t>NIF:</w:t>
      </w:r>
    </w:p>
    <w:p w14:paraId="08495D0F" w14:textId="2B8E9B5F" w:rsidR="00FB254D" w:rsidRPr="00397BA9" w:rsidRDefault="00FB254D">
      <w:pPr>
        <w:pStyle w:val="Standard"/>
        <w:jc w:val="both"/>
        <w:rPr>
          <w:rFonts w:hint="eastAsia"/>
          <w:sz w:val="20"/>
          <w:szCs w:val="20"/>
        </w:rPr>
      </w:pPr>
      <w:r w:rsidRPr="00397BA9">
        <w:rPr>
          <w:sz w:val="20"/>
          <w:szCs w:val="20"/>
        </w:rPr>
        <w:t>DOMICILIO:</w:t>
      </w:r>
    </w:p>
    <w:p w14:paraId="18EB44FC" w14:textId="76127501" w:rsidR="00FB254D" w:rsidRPr="00397BA9" w:rsidRDefault="00FB254D">
      <w:pPr>
        <w:pStyle w:val="Standard"/>
        <w:jc w:val="both"/>
        <w:rPr>
          <w:rFonts w:hint="eastAsia"/>
          <w:sz w:val="20"/>
          <w:szCs w:val="20"/>
        </w:rPr>
      </w:pPr>
      <w:r w:rsidRPr="00397BA9">
        <w:rPr>
          <w:sz w:val="20"/>
          <w:szCs w:val="20"/>
        </w:rPr>
        <w:t>EMAIL:</w:t>
      </w:r>
    </w:p>
    <w:p w14:paraId="3D1FA95D" w14:textId="77777777" w:rsidR="00FB254D" w:rsidRPr="00397BA9" w:rsidRDefault="00FB254D">
      <w:pPr>
        <w:pStyle w:val="Standard"/>
        <w:jc w:val="both"/>
        <w:rPr>
          <w:rFonts w:hint="eastAsia"/>
          <w:sz w:val="20"/>
          <w:szCs w:val="20"/>
        </w:rPr>
      </w:pPr>
    </w:p>
    <w:p w14:paraId="7BDD7534" w14:textId="6538562F" w:rsidR="008A1173" w:rsidRPr="00397BA9" w:rsidRDefault="008A1173">
      <w:pPr>
        <w:pStyle w:val="Standard"/>
        <w:jc w:val="both"/>
        <w:rPr>
          <w:rFonts w:hint="eastAsia"/>
          <w:sz w:val="20"/>
          <w:szCs w:val="20"/>
        </w:rPr>
      </w:pPr>
    </w:p>
    <w:p w14:paraId="64416491" w14:textId="77777777" w:rsidR="00EF683D" w:rsidRPr="00397BA9" w:rsidRDefault="00EF683D">
      <w:pPr>
        <w:pStyle w:val="Standard"/>
        <w:rPr>
          <w:rFonts w:hint="eastAsia"/>
          <w:sz w:val="20"/>
          <w:szCs w:val="20"/>
        </w:rPr>
      </w:pPr>
    </w:p>
    <w:p w14:paraId="3BBC01D7" w14:textId="77777777" w:rsidR="00EF683D" w:rsidRPr="00397BA9" w:rsidRDefault="005051F8">
      <w:pPr>
        <w:pStyle w:val="Standard"/>
        <w:jc w:val="both"/>
        <w:rPr>
          <w:rFonts w:hint="eastAsia"/>
          <w:sz w:val="20"/>
          <w:szCs w:val="20"/>
        </w:rPr>
      </w:pPr>
      <w:r w:rsidRPr="00397BA9">
        <w:rPr>
          <w:rStyle w:val="StrongEmphasis"/>
          <w:rFonts w:ascii="Arial" w:hAnsi="Arial"/>
          <w:b w:val="0"/>
          <w:bCs w:val="0"/>
          <w:color w:val="000000"/>
          <w:sz w:val="20"/>
          <w:szCs w:val="20"/>
        </w:rPr>
        <w:t>Le</w:t>
      </w:r>
      <w:r w:rsidR="004A6548" w:rsidRPr="00397BA9">
        <w:rPr>
          <w:rStyle w:val="StrongEmphasis"/>
          <w:rFonts w:ascii="Arial" w:hAnsi="Arial"/>
          <w:b w:val="0"/>
          <w:bCs w:val="0"/>
          <w:color w:val="000000"/>
          <w:sz w:val="20"/>
          <w:szCs w:val="20"/>
        </w:rPr>
        <w:t>í</w:t>
      </w:r>
      <w:r w:rsidRPr="00397BA9">
        <w:rPr>
          <w:rStyle w:val="StrongEmphasis"/>
          <w:rFonts w:ascii="Arial" w:hAnsi="Arial"/>
          <w:b w:val="0"/>
          <w:bCs w:val="0"/>
          <w:color w:val="000000"/>
          <w:sz w:val="20"/>
          <w:szCs w:val="20"/>
        </w:rPr>
        <w:t xml:space="preserve">do </w:t>
      </w:r>
      <w:r w:rsidR="00357829" w:rsidRPr="00397BA9">
        <w:rPr>
          <w:rStyle w:val="StrongEmphasis"/>
          <w:rFonts w:ascii="Arial" w:hAnsi="Arial"/>
          <w:b w:val="0"/>
          <w:bCs w:val="0"/>
          <w:color w:val="000000"/>
          <w:sz w:val="20"/>
          <w:szCs w:val="20"/>
        </w:rPr>
        <w:t xml:space="preserve">el </w:t>
      </w:r>
      <w:r w:rsidR="00357829" w:rsidRPr="00397BA9">
        <w:rPr>
          <w:rStyle w:val="StrongEmphasis"/>
          <w:rFonts w:ascii="Arial" w:hAnsi="Arial"/>
          <w:color w:val="000000"/>
          <w:sz w:val="20"/>
          <w:szCs w:val="20"/>
        </w:rPr>
        <w:t>Proyecto</w:t>
      </w:r>
      <w:r w:rsidR="00357829" w:rsidRPr="00397BA9">
        <w:rPr>
          <w:rStyle w:val="StrongEmphasis"/>
          <w:rFonts w:ascii="roboto condensedbold" w:hAnsi="roboto condensedbold"/>
          <w:color w:val="000000"/>
          <w:sz w:val="20"/>
          <w:szCs w:val="20"/>
        </w:rPr>
        <w:t xml:space="preserve"> </w:t>
      </w:r>
      <w:r w:rsidR="00357829" w:rsidRPr="00397BA9">
        <w:rPr>
          <w:rStyle w:val="StrongEmphasis"/>
          <w:rFonts w:ascii="Arial" w:hAnsi="Arial"/>
          <w:color w:val="000000"/>
          <w:sz w:val="20"/>
          <w:szCs w:val="20"/>
        </w:rPr>
        <w:t>de Real Decreto de Pesca Marítima de Recreo en Aguas Exteriores</w:t>
      </w:r>
      <w:r w:rsidR="00357829" w:rsidRPr="00397BA9">
        <w:rPr>
          <w:rFonts w:ascii="Arial" w:hAnsi="Arial"/>
          <w:b/>
          <w:bCs/>
          <w:sz w:val="20"/>
          <w:szCs w:val="20"/>
        </w:rPr>
        <w:t xml:space="preserve"> </w:t>
      </w:r>
      <w:r w:rsidR="00357829" w:rsidRPr="00397BA9">
        <w:rPr>
          <w:rFonts w:ascii="Arial" w:hAnsi="Arial"/>
          <w:sz w:val="20"/>
          <w:szCs w:val="20"/>
        </w:rPr>
        <w:t>presenta las alegaciones al mismo co</w:t>
      </w:r>
      <w:r w:rsidR="004A6548" w:rsidRPr="00397BA9">
        <w:rPr>
          <w:rFonts w:ascii="Arial" w:hAnsi="Arial"/>
          <w:sz w:val="20"/>
          <w:szCs w:val="20"/>
        </w:rPr>
        <w:t>ntenidas en el presente escrito.</w:t>
      </w:r>
      <w:r w:rsidR="00357829" w:rsidRPr="00397BA9">
        <w:rPr>
          <w:rFonts w:ascii="Arial" w:hAnsi="Arial"/>
          <w:sz w:val="20"/>
          <w:szCs w:val="20"/>
        </w:rPr>
        <w:t xml:space="preserve"> </w:t>
      </w:r>
    </w:p>
    <w:p w14:paraId="369F75EA" w14:textId="77777777" w:rsidR="00EF683D" w:rsidRPr="00397BA9" w:rsidRDefault="00EF683D">
      <w:pPr>
        <w:pStyle w:val="Standard"/>
        <w:rPr>
          <w:rFonts w:hint="eastAsia"/>
          <w:sz w:val="20"/>
          <w:szCs w:val="20"/>
        </w:rPr>
      </w:pPr>
    </w:p>
    <w:p w14:paraId="1E7B5F90" w14:textId="77777777" w:rsidR="0093300F" w:rsidRPr="00397BA9" w:rsidRDefault="0093300F">
      <w:pPr>
        <w:pStyle w:val="Standard"/>
        <w:rPr>
          <w:rFonts w:hint="eastAsia"/>
          <w:sz w:val="20"/>
          <w:szCs w:val="20"/>
        </w:rPr>
      </w:pPr>
    </w:p>
    <w:p w14:paraId="7E0DCAB6" w14:textId="77777777" w:rsidR="004A6548" w:rsidRPr="00C61EC8" w:rsidRDefault="004A6548">
      <w:pPr>
        <w:pStyle w:val="Standard"/>
        <w:rPr>
          <w:rFonts w:hint="eastAsia"/>
          <w:sz w:val="20"/>
          <w:szCs w:val="20"/>
          <w:u w:val="single"/>
        </w:rPr>
      </w:pPr>
      <w:r w:rsidRPr="00C61EC8">
        <w:rPr>
          <w:szCs w:val="22"/>
          <w:u w:val="single"/>
        </w:rPr>
        <w:t>Se establece en el</w:t>
      </w:r>
      <w:r w:rsidRPr="00C61EC8">
        <w:rPr>
          <w:sz w:val="20"/>
          <w:szCs w:val="20"/>
          <w:u w:val="single"/>
        </w:rPr>
        <w:t xml:space="preserve"> </w:t>
      </w:r>
      <w:r w:rsidRPr="00C61EC8">
        <w:rPr>
          <w:b/>
          <w:bCs/>
          <w:sz w:val="19"/>
          <w:szCs w:val="20"/>
          <w:u w:val="single"/>
        </w:rPr>
        <w:t xml:space="preserve">Artículo 4. Licencias de pesca marítima de recreo. </w:t>
      </w:r>
      <w:r w:rsidRPr="00C61EC8">
        <w:rPr>
          <w:sz w:val="20"/>
          <w:szCs w:val="20"/>
          <w:u w:val="single"/>
        </w:rPr>
        <w:t xml:space="preserve"> </w:t>
      </w:r>
    </w:p>
    <w:p w14:paraId="7226992E" w14:textId="77777777" w:rsidR="00277E99" w:rsidRPr="00397BA9" w:rsidRDefault="00277E99">
      <w:pPr>
        <w:pStyle w:val="Standard"/>
        <w:rPr>
          <w:rFonts w:hint="eastAsia"/>
          <w:sz w:val="20"/>
          <w:szCs w:val="20"/>
        </w:rPr>
      </w:pPr>
    </w:p>
    <w:p w14:paraId="4DCF7DA9" w14:textId="77777777" w:rsidR="004A6548" w:rsidRPr="00397BA9" w:rsidRDefault="004A6548">
      <w:pPr>
        <w:pStyle w:val="Standard"/>
        <w:rPr>
          <w:rFonts w:hint="eastAsia"/>
          <w:i/>
          <w:iCs/>
          <w:szCs w:val="22"/>
        </w:rPr>
      </w:pPr>
      <w:r w:rsidRPr="00397BA9">
        <w:rPr>
          <w:i/>
          <w:iCs/>
          <w:szCs w:val="22"/>
        </w:rPr>
        <w:t xml:space="preserve">En el punto </w:t>
      </w:r>
    </w:p>
    <w:p w14:paraId="2C14914A" w14:textId="77777777" w:rsidR="004A6548" w:rsidRPr="00397BA9" w:rsidRDefault="004A6548" w:rsidP="0093300F">
      <w:pPr>
        <w:pStyle w:val="Standard"/>
        <w:ind w:left="709"/>
        <w:rPr>
          <w:rFonts w:hint="eastAsia"/>
          <w:i/>
          <w:iCs/>
          <w:sz w:val="20"/>
          <w:szCs w:val="20"/>
        </w:rPr>
      </w:pPr>
      <w:r w:rsidRPr="00397BA9">
        <w:rPr>
          <w:i/>
          <w:iCs/>
          <w:szCs w:val="22"/>
        </w:rPr>
        <w:t xml:space="preserve">3. </w:t>
      </w:r>
      <w:r w:rsidRPr="00397BA9">
        <w:rPr>
          <w:i/>
          <w:iCs/>
          <w:sz w:val="20"/>
          <w:szCs w:val="20"/>
        </w:rPr>
        <w:t>En el caso de embarcaciones autorizadas para capturar especies de protección diferenciada del anexo II, todos los pescadores a bordo deberán disponer de una licencia de pesca marítima de recreo de superficie y, además, la específica para las especies de protección diferenciada correspondiente.</w:t>
      </w:r>
    </w:p>
    <w:p w14:paraId="2C169601" w14:textId="77777777" w:rsidR="004A6548" w:rsidRPr="00397BA9" w:rsidRDefault="004A6548">
      <w:pPr>
        <w:pStyle w:val="Standard"/>
        <w:rPr>
          <w:rFonts w:hint="eastAsia"/>
          <w:szCs w:val="22"/>
        </w:rPr>
      </w:pPr>
    </w:p>
    <w:p w14:paraId="79858132" w14:textId="77777777" w:rsidR="0093300F" w:rsidRPr="00397BA9" w:rsidRDefault="0093300F">
      <w:pPr>
        <w:pStyle w:val="Standard"/>
        <w:rPr>
          <w:rFonts w:hint="eastAsia"/>
          <w:szCs w:val="22"/>
        </w:rPr>
      </w:pPr>
    </w:p>
    <w:p w14:paraId="11BA5D65" w14:textId="77777777" w:rsidR="004A6548" w:rsidRPr="00397BA9" w:rsidRDefault="004A6548">
      <w:pPr>
        <w:pStyle w:val="Standard"/>
        <w:rPr>
          <w:rFonts w:asciiTheme="minorHAnsi" w:hAnsiTheme="minorHAnsi"/>
          <w:sz w:val="22"/>
          <w:szCs w:val="22"/>
        </w:rPr>
      </w:pPr>
      <w:r w:rsidRPr="00397BA9">
        <w:rPr>
          <w:rFonts w:asciiTheme="minorHAnsi" w:hAnsiTheme="minorHAnsi"/>
          <w:sz w:val="22"/>
          <w:szCs w:val="22"/>
        </w:rPr>
        <w:t>En nuestra opinión creemos que teniendo la embarcación la correspondiente licencia de pesca de especies de protección diferenciada</w:t>
      </w:r>
      <w:r w:rsidR="00277E99" w:rsidRPr="00397BA9">
        <w:rPr>
          <w:rFonts w:asciiTheme="minorHAnsi" w:hAnsiTheme="minorHAnsi"/>
          <w:sz w:val="22"/>
          <w:szCs w:val="22"/>
        </w:rPr>
        <w:t xml:space="preserve">, </w:t>
      </w:r>
      <w:r w:rsidRPr="00397BA9">
        <w:rPr>
          <w:rFonts w:asciiTheme="minorHAnsi" w:hAnsiTheme="minorHAnsi"/>
          <w:sz w:val="22"/>
          <w:szCs w:val="22"/>
        </w:rPr>
        <w:t>Anexo II (como hasta ahora), debería  ser suficiente</w:t>
      </w:r>
      <w:r w:rsidR="00277E99" w:rsidRPr="00397BA9">
        <w:rPr>
          <w:rFonts w:asciiTheme="minorHAnsi" w:hAnsiTheme="minorHAnsi"/>
          <w:sz w:val="22"/>
          <w:szCs w:val="22"/>
        </w:rPr>
        <w:t xml:space="preserve">. </w:t>
      </w:r>
    </w:p>
    <w:p w14:paraId="359D937B" w14:textId="77777777" w:rsidR="00277E99" w:rsidRPr="00397BA9" w:rsidRDefault="00277E99">
      <w:pPr>
        <w:pStyle w:val="Standard"/>
        <w:rPr>
          <w:rFonts w:asciiTheme="minorHAnsi" w:hAnsiTheme="minorHAnsi"/>
          <w:sz w:val="22"/>
          <w:szCs w:val="22"/>
        </w:rPr>
      </w:pPr>
      <w:r w:rsidRPr="00397BA9">
        <w:rPr>
          <w:rFonts w:asciiTheme="minorHAnsi" w:hAnsiTheme="minorHAnsi"/>
          <w:sz w:val="22"/>
          <w:szCs w:val="22"/>
        </w:rPr>
        <w:t>No nos parece de recibo que alguien que vas a llevar de invitado a pescar en alguna ocasión en tu embarcación tenga que preocuparse en  sacar</w:t>
      </w:r>
      <w:r w:rsidR="0093300F" w:rsidRPr="00397BA9">
        <w:rPr>
          <w:rFonts w:asciiTheme="minorHAnsi" w:hAnsiTheme="minorHAnsi"/>
          <w:sz w:val="22"/>
          <w:szCs w:val="22"/>
        </w:rPr>
        <w:t>,</w:t>
      </w:r>
      <w:r w:rsidRPr="00397BA9">
        <w:rPr>
          <w:rFonts w:asciiTheme="minorHAnsi" w:hAnsiTheme="minorHAnsi"/>
          <w:sz w:val="22"/>
          <w:szCs w:val="22"/>
        </w:rPr>
        <w:t xml:space="preserve"> no una</w:t>
      </w:r>
      <w:r w:rsidR="0093300F" w:rsidRPr="00397BA9">
        <w:rPr>
          <w:rFonts w:asciiTheme="minorHAnsi" w:hAnsiTheme="minorHAnsi"/>
          <w:sz w:val="22"/>
          <w:szCs w:val="22"/>
        </w:rPr>
        <w:t>,</w:t>
      </w:r>
      <w:r w:rsidRPr="00397BA9">
        <w:rPr>
          <w:rFonts w:asciiTheme="minorHAnsi" w:hAnsiTheme="minorHAnsi"/>
          <w:sz w:val="22"/>
          <w:szCs w:val="22"/>
        </w:rPr>
        <w:t xml:space="preserve"> sino dos licencias cuando posiblemente no salga más que una vez a pescar.</w:t>
      </w:r>
    </w:p>
    <w:p w14:paraId="792F9A77" w14:textId="77777777" w:rsidR="00EF683D" w:rsidRPr="00397BA9" w:rsidRDefault="004A6548">
      <w:pPr>
        <w:pStyle w:val="Standard"/>
        <w:rPr>
          <w:rFonts w:hint="eastAsia"/>
          <w:sz w:val="20"/>
          <w:szCs w:val="20"/>
        </w:rPr>
      </w:pPr>
      <w:r w:rsidRPr="00397BA9">
        <w:rPr>
          <w:sz w:val="20"/>
          <w:szCs w:val="20"/>
        </w:rPr>
        <w:t xml:space="preserve"> </w:t>
      </w:r>
    </w:p>
    <w:p w14:paraId="3245BDB1" w14:textId="77777777" w:rsidR="00EF683D" w:rsidRPr="00C61EC8" w:rsidRDefault="00277E99">
      <w:pPr>
        <w:pStyle w:val="Standard"/>
        <w:jc w:val="both"/>
        <w:rPr>
          <w:rFonts w:hint="eastAsia"/>
          <w:b/>
          <w:bCs/>
          <w:sz w:val="19"/>
          <w:szCs w:val="20"/>
          <w:u w:val="single"/>
        </w:rPr>
      </w:pPr>
      <w:r w:rsidRPr="00C61EC8">
        <w:rPr>
          <w:rFonts w:ascii="Arial" w:hAnsi="Arial"/>
          <w:sz w:val="20"/>
          <w:szCs w:val="20"/>
          <w:u w:val="single"/>
        </w:rPr>
        <w:t xml:space="preserve">Se establece en el </w:t>
      </w:r>
      <w:r w:rsidRPr="00C61EC8">
        <w:rPr>
          <w:b/>
          <w:bCs/>
          <w:sz w:val="19"/>
          <w:szCs w:val="20"/>
          <w:u w:val="single"/>
        </w:rPr>
        <w:t>Artículo 7. Aparejos permitidos</w:t>
      </w:r>
    </w:p>
    <w:p w14:paraId="388B0FE2" w14:textId="77777777" w:rsidR="00277E99" w:rsidRPr="00397BA9" w:rsidRDefault="00277E99">
      <w:pPr>
        <w:pStyle w:val="Standard"/>
        <w:jc w:val="both"/>
        <w:rPr>
          <w:rFonts w:ascii="Arial" w:hAnsi="Arial"/>
          <w:sz w:val="20"/>
          <w:szCs w:val="20"/>
        </w:rPr>
      </w:pPr>
    </w:p>
    <w:p w14:paraId="49ED301C" w14:textId="77777777" w:rsidR="00277E99" w:rsidRPr="00397BA9" w:rsidRDefault="00277E99" w:rsidP="00277E99">
      <w:pPr>
        <w:pStyle w:val="Standard"/>
        <w:rPr>
          <w:rFonts w:hint="eastAsia"/>
          <w:i/>
          <w:iCs/>
          <w:szCs w:val="22"/>
        </w:rPr>
      </w:pPr>
      <w:r w:rsidRPr="00397BA9">
        <w:rPr>
          <w:i/>
          <w:iCs/>
          <w:szCs w:val="22"/>
        </w:rPr>
        <w:t xml:space="preserve">En el punto </w:t>
      </w:r>
    </w:p>
    <w:p w14:paraId="2B5B884D" w14:textId="77777777" w:rsidR="00EF683D" w:rsidRPr="00397BA9" w:rsidRDefault="00277E99" w:rsidP="00277E99">
      <w:pPr>
        <w:pStyle w:val="Standard"/>
        <w:numPr>
          <w:ilvl w:val="0"/>
          <w:numId w:val="1"/>
        </w:numPr>
        <w:jc w:val="both"/>
        <w:rPr>
          <w:rFonts w:hint="eastAsia"/>
          <w:i/>
          <w:iCs/>
          <w:sz w:val="19"/>
          <w:szCs w:val="20"/>
        </w:rPr>
      </w:pPr>
      <w:r w:rsidRPr="00397BA9">
        <w:rPr>
          <w:i/>
          <w:iCs/>
          <w:sz w:val="19"/>
          <w:szCs w:val="20"/>
        </w:rPr>
        <w:t xml:space="preserve">Los pescadores con licencias de pesca marítima de recreo de superficie y quienes estén en posesión de autorizaciones específicas para especies sometidas a medidas de protección diferenciada que figuran en el anexo II, podrán utilizar dos cañas por licencia, dos líneas de mano, </w:t>
      </w:r>
      <w:r w:rsidRPr="00397BA9">
        <w:rPr>
          <w:b/>
          <w:i/>
          <w:iCs/>
          <w:szCs w:val="22"/>
          <w:u w:val="single"/>
        </w:rPr>
        <w:t>dos curricán</w:t>
      </w:r>
      <w:r w:rsidRPr="00397BA9">
        <w:rPr>
          <w:i/>
          <w:iCs/>
          <w:sz w:val="19"/>
          <w:szCs w:val="20"/>
        </w:rPr>
        <w:t>, dos volantines y dos poteras, además de los aparejos y accesorios imprescindibles para subir las piezas a bordo, con un máximo de seis anzuelos.</w:t>
      </w:r>
    </w:p>
    <w:p w14:paraId="7188BB8D" w14:textId="77777777" w:rsidR="006F7883" w:rsidRPr="00397BA9" w:rsidRDefault="006F7883" w:rsidP="006F7883">
      <w:pPr>
        <w:pStyle w:val="Standard"/>
        <w:ind w:left="360"/>
        <w:jc w:val="both"/>
        <w:rPr>
          <w:rFonts w:hint="eastAsia"/>
          <w:i/>
          <w:iCs/>
          <w:sz w:val="19"/>
          <w:szCs w:val="20"/>
        </w:rPr>
      </w:pPr>
    </w:p>
    <w:p w14:paraId="258FF84D" w14:textId="77777777" w:rsidR="0093300F" w:rsidRPr="00397BA9" w:rsidRDefault="0093300F" w:rsidP="006F7883">
      <w:pPr>
        <w:pStyle w:val="Standard"/>
        <w:ind w:left="360"/>
        <w:jc w:val="both"/>
        <w:rPr>
          <w:rFonts w:hint="eastAsia"/>
          <w:sz w:val="19"/>
          <w:szCs w:val="20"/>
        </w:rPr>
      </w:pPr>
    </w:p>
    <w:p w14:paraId="1F3560FD" w14:textId="77777777" w:rsidR="006F7883" w:rsidRPr="00397BA9" w:rsidRDefault="006F7883" w:rsidP="006F7883">
      <w:pPr>
        <w:pStyle w:val="Standard"/>
        <w:rPr>
          <w:rFonts w:asciiTheme="minorHAnsi" w:hAnsiTheme="minorHAnsi"/>
          <w:sz w:val="22"/>
          <w:szCs w:val="22"/>
        </w:rPr>
      </w:pPr>
      <w:r w:rsidRPr="00397BA9">
        <w:rPr>
          <w:rFonts w:asciiTheme="minorHAnsi" w:hAnsiTheme="minorHAnsi"/>
          <w:sz w:val="22"/>
          <w:szCs w:val="22"/>
        </w:rPr>
        <w:t>No nos parece lógico que cuando vamos una o dos personas en la embarcación, (la mayoría de las veces), sólo podamos utilizar dos curricán por licencia cuando en cada curricán va un s</w:t>
      </w:r>
      <w:r w:rsidR="0093300F" w:rsidRPr="00397BA9">
        <w:rPr>
          <w:rFonts w:asciiTheme="minorHAnsi" w:hAnsiTheme="minorHAnsi"/>
          <w:sz w:val="22"/>
          <w:szCs w:val="22"/>
        </w:rPr>
        <w:t>o</w:t>
      </w:r>
      <w:r w:rsidRPr="00397BA9">
        <w:rPr>
          <w:rFonts w:asciiTheme="minorHAnsi" w:hAnsiTheme="minorHAnsi"/>
          <w:sz w:val="22"/>
          <w:szCs w:val="22"/>
        </w:rPr>
        <w:t>lo anzuelo y el tope de anzuelos es de seis por licencia.</w:t>
      </w:r>
    </w:p>
    <w:p w14:paraId="5DD69A88" w14:textId="77777777" w:rsidR="006F7883" w:rsidRPr="00397BA9" w:rsidRDefault="006F7883" w:rsidP="006F7883">
      <w:pPr>
        <w:pStyle w:val="Standard"/>
        <w:rPr>
          <w:rFonts w:asciiTheme="minorHAnsi" w:hAnsiTheme="minorHAnsi"/>
          <w:sz w:val="22"/>
          <w:szCs w:val="22"/>
        </w:rPr>
      </w:pPr>
    </w:p>
    <w:p w14:paraId="0CF33E55" w14:textId="77777777" w:rsidR="0093300F" w:rsidRPr="00397BA9" w:rsidRDefault="0093300F" w:rsidP="006F7883">
      <w:pPr>
        <w:pStyle w:val="Standard"/>
        <w:rPr>
          <w:rFonts w:asciiTheme="minorHAnsi" w:hAnsiTheme="minorHAnsi"/>
          <w:sz w:val="22"/>
          <w:szCs w:val="22"/>
        </w:rPr>
      </w:pPr>
    </w:p>
    <w:p w14:paraId="6AAAFE12" w14:textId="77777777" w:rsidR="0093300F" w:rsidRPr="00397BA9" w:rsidRDefault="0093300F" w:rsidP="006F7883">
      <w:pPr>
        <w:pStyle w:val="Standard"/>
        <w:rPr>
          <w:rFonts w:asciiTheme="minorHAnsi" w:hAnsiTheme="minorHAnsi"/>
          <w:sz w:val="22"/>
          <w:szCs w:val="22"/>
        </w:rPr>
      </w:pPr>
    </w:p>
    <w:p w14:paraId="3CE1E569" w14:textId="77777777" w:rsidR="006F7883" w:rsidRPr="00C61EC8" w:rsidRDefault="006F7883" w:rsidP="006F7883">
      <w:pPr>
        <w:pStyle w:val="Standard"/>
        <w:rPr>
          <w:rFonts w:hint="eastAsia"/>
          <w:b/>
          <w:bCs/>
          <w:i/>
          <w:iCs/>
          <w:sz w:val="19"/>
          <w:szCs w:val="20"/>
          <w:u w:val="single"/>
        </w:rPr>
      </w:pPr>
      <w:r w:rsidRPr="00C61EC8">
        <w:rPr>
          <w:rFonts w:ascii="Arial" w:hAnsi="Arial"/>
          <w:i/>
          <w:iCs/>
          <w:sz w:val="20"/>
          <w:szCs w:val="20"/>
          <w:u w:val="single"/>
        </w:rPr>
        <w:t>Se establece en el</w:t>
      </w:r>
      <w:r w:rsidRPr="00C61EC8">
        <w:rPr>
          <w:b/>
          <w:bCs/>
          <w:i/>
          <w:iCs/>
          <w:sz w:val="19"/>
          <w:szCs w:val="20"/>
          <w:u w:val="single"/>
        </w:rPr>
        <w:t xml:space="preserve"> Artículo 10. Marcado.</w:t>
      </w:r>
    </w:p>
    <w:p w14:paraId="412AC410" w14:textId="77777777" w:rsidR="006F7883" w:rsidRPr="00397BA9" w:rsidRDefault="006F7883" w:rsidP="006F7883">
      <w:pPr>
        <w:pStyle w:val="Standard"/>
        <w:rPr>
          <w:rFonts w:hint="eastAsia"/>
          <w:b/>
          <w:bCs/>
          <w:i/>
          <w:iCs/>
          <w:sz w:val="19"/>
          <w:szCs w:val="20"/>
        </w:rPr>
      </w:pPr>
    </w:p>
    <w:p w14:paraId="20B06844" w14:textId="77777777" w:rsidR="006F7883" w:rsidRPr="00397BA9" w:rsidRDefault="006F7883" w:rsidP="0093300F">
      <w:pPr>
        <w:pStyle w:val="Standard"/>
        <w:ind w:left="709"/>
        <w:rPr>
          <w:rFonts w:hint="eastAsia"/>
          <w:i/>
          <w:iCs/>
          <w:sz w:val="19"/>
          <w:szCs w:val="20"/>
        </w:rPr>
      </w:pPr>
      <w:r w:rsidRPr="00397BA9">
        <w:rPr>
          <w:i/>
          <w:iCs/>
          <w:sz w:val="19"/>
          <w:szCs w:val="20"/>
        </w:rPr>
        <w:t>Todas las capturas obtenidas en el ejercicio de la pesca marítima de recreo deberán ser desembarcadas enteras o evisceradas, de tal manera que su medición pueda llevarse a cabo atendiendo a los criterios establecidos en la normativa pertinente. Asimismo, toda captura deberá ser marcada inmediatamente después de su captura con un corte que elimine parte del lóbulo inferior de la aleta caudal, sin que dicho marcado pueda menoscabar la medición de la talla total de la pieza. En el caso de los calamares o sepias deberá cortarse una de las alas.</w:t>
      </w:r>
    </w:p>
    <w:p w14:paraId="2A9CB300" w14:textId="77777777" w:rsidR="006F7883" w:rsidRPr="00397BA9" w:rsidRDefault="006F7883" w:rsidP="006F7883">
      <w:pPr>
        <w:pStyle w:val="Standard"/>
        <w:rPr>
          <w:rFonts w:hint="eastAsia"/>
          <w:i/>
          <w:iCs/>
          <w:sz w:val="19"/>
          <w:szCs w:val="20"/>
        </w:rPr>
      </w:pPr>
    </w:p>
    <w:p w14:paraId="588BC69D" w14:textId="77777777" w:rsidR="0093300F" w:rsidRPr="00397BA9" w:rsidRDefault="0093300F" w:rsidP="006F7883">
      <w:pPr>
        <w:pStyle w:val="Standard"/>
        <w:rPr>
          <w:rFonts w:hint="eastAsia"/>
          <w:sz w:val="19"/>
          <w:szCs w:val="20"/>
        </w:rPr>
      </w:pPr>
    </w:p>
    <w:p w14:paraId="054F570C" w14:textId="77777777" w:rsidR="006F7883" w:rsidRPr="00397BA9" w:rsidRDefault="006F7883" w:rsidP="006F7883">
      <w:pPr>
        <w:pStyle w:val="Standard"/>
        <w:rPr>
          <w:rFonts w:asciiTheme="minorHAnsi" w:hAnsiTheme="minorHAnsi"/>
          <w:sz w:val="22"/>
          <w:szCs w:val="22"/>
        </w:rPr>
      </w:pPr>
      <w:r w:rsidRPr="00397BA9">
        <w:rPr>
          <w:rFonts w:asciiTheme="minorHAnsi" w:hAnsiTheme="minorHAnsi"/>
          <w:sz w:val="22"/>
          <w:szCs w:val="22"/>
        </w:rPr>
        <w:t>El tener que cortar parte de la cola a un pescado o una aleta a un calamar o a una sepia es lo mismo que decirle a un cazador que le corte un ala a una perdiz o las orejas a un conejo. Creemos firmemente que esta no es la forma de acabar con el furtivismo y la venta de pescado de recreativos ( si con esta norma es lo que se pretende) .</w:t>
      </w:r>
    </w:p>
    <w:p w14:paraId="4FCB0AF3" w14:textId="77777777" w:rsidR="006F7883" w:rsidRPr="00397BA9" w:rsidRDefault="006F7883" w:rsidP="006F7883">
      <w:pPr>
        <w:pStyle w:val="Standard"/>
        <w:rPr>
          <w:rFonts w:asciiTheme="minorHAnsi" w:hAnsiTheme="minorHAnsi"/>
          <w:sz w:val="22"/>
          <w:szCs w:val="22"/>
        </w:rPr>
      </w:pPr>
    </w:p>
    <w:p w14:paraId="3B6FF0D5" w14:textId="77777777" w:rsidR="006F7883" w:rsidRPr="00C61EC8" w:rsidRDefault="006F7883" w:rsidP="006F7883">
      <w:pPr>
        <w:pStyle w:val="Standard"/>
        <w:rPr>
          <w:rFonts w:hint="eastAsia"/>
          <w:b/>
          <w:bCs/>
          <w:sz w:val="19"/>
          <w:szCs w:val="20"/>
          <w:u w:val="single"/>
        </w:rPr>
      </w:pPr>
      <w:r w:rsidRPr="00C61EC8">
        <w:rPr>
          <w:rFonts w:ascii="Arial" w:hAnsi="Arial"/>
          <w:sz w:val="20"/>
          <w:szCs w:val="20"/>
          <w:u w:val="single"/>
        </w:rPr>
        <w:t>Se establece en el</w:t>
      </w:r>
      <w:r w:rsidR="00432DDB" w:rsidRPr="00C61EC8">
        <w:rPr>
          <w:rFonts w:ascii="Arial" w:hAnsi="Arial"/>
          <w:sz w:val="20"/>
          <w:szCs w:val="20"/>
          <w:u w:val="single"/>
        </w:rPr>
        <w:t xml:space="preserve"> </w:t>
      </w:r>
      <w:r w:rsidR="00432DDB" w:rsidRPr="00C61EC8">
        <w:rPr>
          <w:b/>
          <w:bCs/>
          <w:sz w:val="19"/>
          <w:szCs w:val="20"/>
          <w:u w:val="single"/>
        </w:rPr>
        <w:t>Artículo 11. Volumen de capturas.</w:t>
      </w:r>
    </w:p>
    <w:p w14:paraId="5076EC13" w14:textId="77777777" w:rsidR="00432DDB" w:rsidRPr="00397BA9" w:rsidRDefault="00432DDB" w:rsidP="006F7883">
      <w:pPr>
        <w:pStyle w:val="Standard"/>
        <w:rPr>
          <w:rFonts w:hint="eastAsia"/>
          <w:b/>
          <w:bCs/>
          <w:sz w:val="19"/>
          <w:szCs w:val="20"/>
        </w:rPr>
      </w:pPr>
    </w:p>
    <w:p w14:paraId="7D4B86CA" w14:textId="77777777" w:rsidR="00432DDB" w:rsidRPr="00397BA9" w:rsidRDefault="00432DDB" w:rsidP="00432DDB">
      <w:pPr>
        <w:pStyle w:val="Standard"/>
        <w:rPr>
          <w:rFonts w:hint="eastAsia"/>
          <w:i/>
          <w:iCs/>
          <w:szCs w:val="22"/>
        </w:rPr>
      </w:pPr>
      <w:r w:rsidRPr="00397BA9">
        <w:rPr>
          <w:i/>
          <w:iCs/>
          <w:szCs w:val="22"/>
        </w:rPr>
        <w:t xml:space="preserve">En el punto </w:t>
      </w:r>
    </w:p>
    <w:p w14:paraId="557EF72E" w14:textId="77777777" w:rsidR="00432DDB" w:rsidRPr="00397BA9" w:rsidRDefault="00432DDB" w:rsidP="0093300F">
      <w:pPr>
        <w:pStyle w:val="Default"/>
        <w:ind w:left="709"/>
        <w:rPr>
          <w:i/>
          <w:iCs/>
          <w:sz w:val="20"/>
          <w:szCs w:val="20"/>
        </w:rPr>
      </w:pPr>
      <w:r w:rsidRPr="00397BA9">
        <w:rPr>
          <w:i/>
          <w:iCs/>
          <w:sz w:val="20"/>
          <w:szCs w:val="20"/>
        </w:rPr>
        <w:t xml:space="preserve">3. En relación a las especies de protección diferenciada reguladas en el anexo II, el tope máximo de capturas diarias permitidas por licencia y día será de: </w:t>
      </w:r>
    </w:p>
    <w:p w14:paraId="02DD8D09" w14:textId="77777777" w:rsidR="00432DDB" w:rsidRPr="00397BA9" w:rsidRDefault="00432DDB" w:rsidP="0093300F">
      <w:pPr>
        <w:pStyle w:val="Default"/>
        <w:ind w:left="709"/>
        <w:rPr>
          <w:i/>
          <w:iCs/>
          <w:sz w:val="20"/>
          <w:szCs w:val="20"/>
        </w:rPr>
      </w:pPr>
      <w:r w:rsidRPr="00397BA9">
        <w:rPr>
          <w:i/>
          <w:iCs/>
          <w:sz w:val="20"/>
          <w:szCs w:val="20"/>
        </w:rPr>
        <w:t xml:space="preserve">a) Tres piezas para las especies de Atún Blanco (ALB) y Patudo (BET) en conjunto, con un máximo de un ejemplar para este último. </w:t>
      </w:r>
    </w:p>
    <w:p w14:paraId="08784646" w14:textId="77777777" w:rsidR="00FE508F" w:rsidRPr="00397BA9" w:rsidRDefault="00FE508F" w:rsidP="00432DDB">
      <w:pPr>
        <w:pStyle w:val="Default"/>
        <w:rPr>
          <w:sz w:val="20"/>
          <w:szCs w:val="20"/>
        </w:rPr>
      </w:pPr>
    </w:p>
    <w:p w14:paraId="092CA129" w14:textId="77777777" w:rsidR="00FE508F" w:rsidRPr="00397BA9" w:rsidRDefault="00FE508F" w:rsidP="00432DDB">
      <w:pPr>
        <w:pStyle w:val="Default"/>
        <w:rPr>
          <w:sz w:val="20"/>
          <w:szCs w:val="20"/>
        </w:rPr>
      </w:pPr>
    </w:p>
    <w:p w14:paraId="102F4F12" w14:textId="77777777" w:rsidR="00FE508F" w:rsidRPr="00397BA9" w:rsidRDefault="00FE508F" w:rsidP="00FE508F">
      <w:pPr>
        <w:pStyle w:val="Standard"/>
        <w:rPr>
          <w:rFonts w:asciiTheme="minorHAnsi" w:hAnsiTheme="minorHAnsi"/>
          <w:sz w:val="22"/>
          <w:szCs w:val="22"/>
        </w:rPr>
      </w:pPr>
      <w:r w:rsidRPr="00397BA9">
        <w:rPr>
          <w:rFonts w:asciiTheme="minorHAnsi" w:hAnsiTheme="minorHAnsi"/>
          <w:sz w:val="22"/>
          <w:szCs w:val="22"/>
        </w:rPr>
        <w:lastRenderedPageBreak/>
        <w:t>Nos parece muy injusto el recorte de las capturas máximas de atún blanco y patudo (de cinco a tres para el atún blanco y de cinco a una para el patudo), cuando el ICCAT aprueba una subida del 12% para los dos próximos años. Creemos que el recurso va en alza.</w:t>
      </w:r>
    </w:p>
    <w:p w14:paraId="01F91E11" w14:textId="77777777" w:rsidR="00FE508F" w:rsidRPr="00397BA9" w:rsidRDefault="00FE508F" w:rsidP="00FE508F">
      <w:pPr>
        <w:pStyle w:val="Standard"/>
        <w:rPr>
          <w:rFonts w:asciiTheme="minorHAnsi" w:hAnsiTheme="minorHAnsi"/>
          <w:sz w:val="22"/>
          <w:szCs w:val="22"/>
        </w:rPr>
      </w:pPr>
      <w:r w:rsidRPr="00397BA9">
        <w:rPr>
          <w:rFonts w:asciiTheme="minorHAnsi" w:hAnsiTheme="minorHAnsi"/>
          <w:sz w:val="22"/>
          <w:szCs w:val="22"/>
        </w:rPr>
        <w:t>Queremos añadir que en esta zona del Cantábrico la mayoría de las embarcaciones que salimos a pescar tienen esloras entre 7 y 8,5 metros, es decir, relativamente pequeñas.</w:t>
      </w:r>
    </w:p>
    <w:p w14:paraId="4D032B6C" w14:textId="77777777" w:rsidR="00FE508F" w:rsidRPr="00397BA9" w:rsidRDefault="00FE508F" w:rsidP="00FE508F">
      <w:pPr>
        <w:pStyle w:val="Standard"/>
        <w:rPr>
          <w:rFonts w:asciiTheme="minorHAnsi" w:hAnsiTheme="minorHAnsi"/>
          <w:sz w:val="22"/>
          <w:szCs w:val="22"/>
        </w:rPr>
      </w:pPr>
      <w:r w:rsidRPr="00397BA9">
        <w:rPr>
          <w:rFonts w:asciiTheme="minorHAnsi" w:hAnsiTheme="minorHAnsi"/>
          <w:sz w:val="22"/>
          <w:szCs w:val="22"/>
        </w:rPr>
        <w:t>Cuando el atún blanco se acerca a nuestras costas, entre malos tiempos o que el pescado está muy lejos de nuestros puertos o que estamos trabajando, no son muchos los días que podemos a salir a pescarlos. Con esto queremos decir que si podemos salir tres o cuatro veces en la temporada y la mitad de ellas no encuentras el pescado, no creemos que los recreativos hagamos mucho daño a los recursos con las cuotas establecidas hasta el momento.</w:t>
      </w:r>
    </w:p>
    <w:p w14:paraId="0DA59F63" w14:textId="77777777" w:rsidR="00432DDB" w:rsidRPr="00397BA9" w:rsidRDefault="00432DDB" w:rsidP="006F7883">
      <w:pPr>
        <w:pStyle w:val="Standard"/>
        <w:rPr>
          <w:rFonts w:asciiTheme="minorHAnsi" w:hAnsiTheme="minorHAnsi"/>
          <w:sz w:val="22"/>
          <w:szCs w:val="22"/>
        </w:rPr>
      </w:pPr>
    </w:p>
    <w:p w14:paraId="25E05895" w14:textId="77777777" w:rsidR="00EF683D" w:rsidRPr="00397BA9" w:rsidRDefault="00EF683D">
      <w:pPr>
        <w:pStyle w:val="Standard"/>
        <w:jc w:val="both"/>
        <w:rPr>
          <w:rFonts w:ascii="Arial" w:hAnsi="Arial"/>
          <w:sz w:val="20"/>
          <w:szCs w:val="20"/>
        </w:rPr>
      </w:pPr>
    </w:p>
    <w:p w14:paraId="2AB307C6" w14:textId="77777777" w:rsidR="00EF683D" w:rsidRPr="00397BA9" w:rsidRDefault="00357829">
      <w:pPr>
        <w:pStyle w:val="Standard"/>
        <w:jc w:val="both"/>
        <w:rPr>
          <w:rFonts w:ascii="Arial" w:hAnsi="Arial"/>
          <w:sz w:val="20"/>
          <w:szCs w:val="20"/>
        </w:rPr>
      </w:pPr>
      <w:r w:rsidRPr="00397BA9">
        <w:rPr>
          <w:rFonts w:ascii="Arial" w:hAnsi="Arial"/>
          <w:sz w:val="20"/>
          <w:szCs w:val="20"/>
        </w:rPr>
        <w:t>En su virtud</w:t>
      </w:r>
    </w:p>
    <w:p w14:paraId="313E00E3" w14:textId="77777777" w:rsidR="00EF683D" w:rsidRPr="00397BA9" w:rsidRDefault="00EF683D">
      <w:pPr>
        <w:pStyle w:val="Standard"/>
        <w:jc w:val="both"/>
        <w:rPr>
          <w:rFonts w:ascii="Arial" w:hAnsi="Arial"/>
          <w:sz w:val="20"/>
          <w:szCs w:val="20"/>
        </w:rPr>
      </w:pPr>
    </w:p>
    <w:p w14:paraId="32B4C2A8" w14:textId="77777777" w:rsidR="00EF683D" w:rsidRPr="00397BA9" w:rsidRDefault="00357829">
      <w:pPr>
        <w:pStyle w:val="Standard"/>
        <w:jc w:val="center"/>
        <w:rPr>
          <w:rFonts w:ascii="Arial" w:hAnsi="Arial"/>
          <w:b/>
          <w:bCs/>
          <w:sz w:val="20"/>
          <w:szCs w:val="20"/>
        </w:rPr>
      </w:pPr>
      <w:r w:rsidRPr="00397BA9">
        <w:rPr>
          <w:rFonts w:ascii="Arial" w:hAnsi="Arial"/>
          <w:b/>
          <w:bCs/>
          <w:sz w:val="20"/>
          <w:szCs w:val="20"/>
        </w:rPr>
        <w:t>SOLICITA</w:t>
      </w:r>
    </w:p>
    <w:p w14:paraId="5B9C77BA" w14:textId="77777777" w:rsidR="00EF683D" w:rsidRPr="00397BA9" w:rsidRDefault="00EF683D">
      <w:pPr>
        <w:pStyle w:val="Standard"/>
        <w:jc w:val="both"/>
        <w:rPr>
          <w:rFonts w:ascii="Arial" w:hAnsi="Arial"/>
          <w:sz w:val="20"/>
          <w:szCs w:val="20"/>
        </w:rPr>
      </w:pPr>
    </w:p>
    <w:p w14:paraId="1CAA0C77" w14:textId="77777777" w:rsidR="00EF683D" w:rsidRPr="00397BA9" w:rsidRDefault="00EF683D">
      <w:pPr>
        <w:pStyle w:val="Standard"/>
        <w:jc w:val="both"/>
        <w:rPr>
          <w:rFonts w:ascii="Arial" w:hAnsi="Arial"/>
          <w:sz w:val="20"/>
          <w:szCs w:val="20"/>
        </w:rPr>
      </w:pPr>
    </w:p>
    <w:p w14:paraId="42ACE84E" w14:textId="2F00297B" w:rsidR="00EF683D" w:rsidRPr="00397BA9" w:rsidRDefault="00C61EC8">
      <w:pPr>
        <w:pStyle w:val="Standard"/>
        <w:jc w:val="both"/>
        <w:rPr>
          <w:rFonts w:ascii="Arial" w:hAnsi="Arial"/>
          <w:sz w:val="20"/>
          <w:szCs w:val="20"/>
        </w:rPr>
      </w:pPr>
      <w:r>
        <w:rPr>
          <w:rFonts w:ascii="Arial" w:hAnsi="Arial"/>
          <w:sz w:val="20"/>
          <w:szCs w:val="20"/>
        </w:rPr>
        <w:t>A</w:t>
      </w:r>
      <w:r w:rsidR="00357829" w:rsidRPr="00397BA9">
        <w:rPr>
          <w:rFonts w:ascii="Arial" w:hAnsi="Arial"/>
          <w:sz w:val="20"/>
          <w:szCs w:val="20"/>
        </w:rPr>
        <w:t xml:space="preserve"> ese Ministerio tenga por presentado en tiempo y forma el presente Escrito de Alegaciones y se sirva admitirlo a trámite.</w:t>
      </w:r>
    </w:p>
    <w:p w14:paraId="7E58BF37" w14:textId="77777777" w:rsidR="00EF683D" w:rsidRPr="00397BA9" w:rsidRDefault="00EF683D">
      <w:pPr>
        <w:pStyle w:val="Standard"/>
        <w:jc w:val="both"/>
        <w:rPr>
          <w:rFonts w:ascii="Arial" w:hAnsi="Arial"/>
          <w:sz w:val="20"/>
          <w:szCs w:val="20"/>
        </w:rPr>
      </w:pPr>
    </w:p>
    <w:p w14:paraId="2DAC9ABE" w14:textId="77777777" w:rsidR="00EF683D" w:rsidRPr="00397BA9" w:rsidRDefault="00EF683D">
      <w:pPr>
        <w:pStyle w:val="Standard"/>
        <w:jc w:val="both"/>
        <w:rPr>
          <w:rFonts w:ascii="Arial" w:hAnsi="Arial"/>
          <w:sz w:val="20"/>
          <w:szCs w:val="20"/>
        </w:rPr>
      </w:pPr>
    </w:p>
    <w:p w14:paraId="51B924F1" w14:textId="74B1E5AE" w:rsidR="00EF683D" w:rsidRPr="00397BA9" w:rsidRDefault="00FB254D">
      <w:pPr>
        <w:pStyle w:val="Standard"/>
        <w:jc w:val="both"/>
        <w:rPr>
          <w:rFonts w:ascii="Arial" w:hAnsi="Arial"/>
          <w:b/>
          <w:bCs/>
          <w:sz w:val="20"/>
          <w:szCs w:val="20"/>
        </w:rPr>
      </w:pPr>
      <w:r w:rsidRPr="00397BA9">
        <w:rPr>
          <w:rFonts w:ascii="Arial" w:hAnsi="Arial"/>
          <w:b/>
          <w:bCs/>
          <w:sz w:val="20"/>
          <w:szCs w:val="20"/>
        </w:rPr>
        <w:t>FIRMA Y FECHA</w:t>
      </w:r>
    </w:p>
    <w:p w14:paraId="46CB1B0D" w14:textId="77777777" w:rsidR="00EF683D" w:rsidRPr="00397BA9" w:rsidRDefault="00EF683D">
      <w:pPr>
        <w:pStyle w:val="Standard"/>
        <w:jc w:val="both"/>
        <w:rPr>
          <w:rFonts w:ascii="Arial" w:hAnsi="Arial"/>
          <w:sz w:val="20"/>
          <w:szCs w:val="20"/>
        </w:rPr>
      </w:pPr>
    </w:p>
    <w:p w14:paraId="78D991F8" w14:textId="77777777" w:rsidR="00EF683D" w:rsidRPr="00397BA9" w:rsidRDefault="00EF683D">
      <w:pPr>
        <w:pStyle w:val="Standard"/>
        <w:jc w:val="both"/>
        <w:rPr>
          <w:rFonts w:ascii="Arial" w:hAnsi="Arial"/>
          <w:sz w:val="20"/>
          <w:szCs w:val="20"/>
        </w:rPr>
      </w:pPr>
    </w:p>
    <w:p w14:paraId="63301FE6" w14:textId="77777777" w:rsidR="004120C3" w:rsidRPr="00397BA9" w:rsidRDefault="00357829">
      <w:pPr>
        <w:pStyle w:val="Standard"/>
        <w:jc w:val="both"/>
        <w:rPr>
          <w:rFonts w:ascii="Arial" w:hAnsi="Arial"/>
          <w:sz w:val="20"/>
          <w:szCs w:val="20"/>
        </w:rPr>
      </w:pPr>
      <w:r w:rsidRPr="00397BA9">
        <w:rPr>
          <w:rFonts w:ascii="Arial" w:hAnsi="Arial"/>
          <w:sz w:val="20"/>
          <w:szCs w:val="20"/>
        </w:rPr>
        <w:t xml:space="preserve">         </w:t>
      </w:r>
    </w:p>
    <w:p w14:paraId="0DD1EC44" w14:textId="77777777" w:rsidR="004120C3" w:rsidRPr="00397BA9" w:rsidRDefault="004120C3">
      <w:pPr>
        <w:pStyle w:val="Standard"/>
        <w:jc w:val="both"/>
        <w:rPr>
          <w:rFonts w:ascii="Arial" w:hAnsi="Arial"/>
          <w:sz w:val="20"/>
          <w:szCs w:val="20"/>
        </w:rPr>
      </w:pPr>
    </w:p>
    <w:p w14:paraId="2DE14732" w14:textId="77777777" w:rsidR="00D964CA" w:rsidRDefault="004120C3" w:rsidP="004120C3">
      <w:pPr>
        <w:pStyle w:val="NormalWeb"/>
        <w:rPr>
          <w:rFonts w:ascii="Arial" w:hAnsi="Arial"/>
          <w:sz w:val="18"/>
          <w:szCs w:val="18"/>
        </w:rPr>
      </w:pPr>
      <w:r w:rsidRPr="00397BA9">
        <w:rPr>
          <w:rFonts w:ascii="Arial" w:hAnsi="Arial"/>
          <w:b/>
          <w:bCs/>
          <w:sz w:val="18"/>
          <w:szCs w:val="18"/>
          <w:highlight w:val="yellow"/>
        </w:rPr>
        <w:t>**Una vez cumplimentado enviar a las siguientes direcciones de email :</w:t>
      </w:r>
      <w:r w:rsidRPr="00397BA9">
        <w:rPr>
          <w:rFonts w:ascii="Arial" w:hAnsi="Arial"/>
          <w:sz w:val="18"/>
          <w:szCs w:val="18"/>
        </w:rPr>
        <w:t xml:space="preserve"> </w:t>
      </w:r>
    </w:p>
    <w:p w14:paraId="2CED38EF" w14:textId="6DAD2987" w:rsidR="004120C3" w:rsidRDefault="00D964CA" w:rsidP="004120C3">
      <w:pPr>
        <w:pStyle w:val="NormalWeb"/>
        <w:rPr>
          <w:i/>
          <w:iCs/>
        </w:rPr>
      </w:pPr>
      <w:hyperlink r:id="rId7" w:history="1">
        <w:r w:rsidRPr="009E0B56">
          <w:rPr>
            <w:rStyle w:val="Hipervnculo"/>
            <w:i/>
            <w:iCs/>
          </w:rPr>
          <w:t>SGPESCA@MAPA.ES</w:t>
        </w:r>
      </w:hyperlink>
    </w:p>
    <w:p w14:paraId="23AE0237" w14:textId="77777777" w:rsidR="004120C3" w:rsidRDefault="00D964CA" w:rsidP="004120C3">
      <w:pPr>
        <w:pStyle w:val="NormalWeb"/>
        <w:rPr>
          <w:i/>
          <w:iCs/>
        </w:rPr>
      </w:pPr>
      <w:hyperlink r:id="rId8" w:history="1">
        <w:r w:rsidR="004120C3">
          <w:rPr>
            <w:rStyle w:val="Hipervnculo"/>
            <w:i/>
            <w:iCs/>
          </w:rPr>
          <w:t>CANALCPM@MAPA.ES</w:t>
        </w:r>
      </w:hyperlink>
    </w:p>
    <w:p w14:paraId="4DC1C58A" w14:textId="6597C634" w:rsidR="00EF683D" w:rsidRDefault="00357829">
      <w:pPr>
        <w:pStyle w:val="Standard"/>
        <w:jc w:val="both"/>
        <w:rPr>
          <w:rFonts w:ascii="Arial" w:hAnsi="Arial"/>
        </w:rPr>
      </w:pPr>
      <w:r>
        <w:rPr>
          <w:rFonts w:ascii="Arial" w:hAnsi="Arial"/>
        </w:rPr>
        <w:t xml:space="preserve">                                                                           </w:t>
      </w:r>
    </w:p>
    <w:sectPr w:rsidR="00EF683D" w:rsidSect="00397BA9">
      <w:pgSz w:w="11906" w:h="16838"/>
      <w:pgMar w:top="426" w:right="566" w:bottom="709" w:left="4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12205" w14:textId="77777777" w:rsidR="000A60B0" w:rsidRDefault="000A60B0">
      <w:pPr>
        <w:rPr>
          <w:rFonts w:hint="eastAsia"/>
        </w:rPr>
      </w:pPr>
      <w:r>
        <w:separator/>
      </w:r>
    </w:p>
  </w:endnote>
  <w:endnote w:type="continuationSeparator" w:id="0">
    <w:p w14:paraId="4AF3DE13" w14:textId="77777777" w:rsidR="000A60B0" w:rsidRDefault="000A60B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condensedbold">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F964" w14:textId="77777777" w:rsidR="000A60B0" w:rsidRDefault="000A60B0">
      <w:pPr>
        <w:rPr>
          <w:rFonts w:hint="eastAsia"/>
        </w:rPr>
      </w:pPr>
      <w:r>
        <w:rPr>
          <w:color w:val="000000"/>
        </w:rPr>
        <w:separator/>
      </w:r>
    </w:p>
  </w:footnote>
  <w:footnote w:type="continuationSeparator" w:id="0">
    <w:p w14:paraId="3E0ADB53" w14:textId="77777777" w:rsidR="000A60B0" w:rsidRDefault="000A60B0">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255EC3"/>
    <w:multiLevelType w:val="hybridMultilevel"/>
    <w:tmpl w:val="5C62B3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83D"/>
    <w:rsid w:val="00036C3C"/>
    <w:rsid w:val="000A60B0"/>
    <w:rsid w:val="00277E99"/>
    <w:rsid w:val="00291DB6"/>
    <w:rsid w:val="002D624D"/>
    <w:rsid w:val="00340409"/>
    <w:rsid w:val="00357829"/>
    <w:rsid w:val="00397BA9"/>
    <w:rsid w:val="003E4629"/>
    <w:rsid w:val="00404E69"/>
    <w:rsid w:val="004120C3"/>
    <w:rsid w:val="00432DDB"/>
    <w:rsid w:val="00453C80"/>
    <w:rsid w:val="004A6548"/>
    <w:rsid w:val="005051F8"/>
    <w:rsid w:val="005279B6"/>
    <w:rsid w:val="00622E39"/>
    <w:rsid w:val="006C56AE"/>
    <w:rsid w:val="006F7883"/>
    <w:rsid w:val="007E49A4"/>
    <w:rsid w:val="007F6373"/>
    <w:rsid w:val="008A1173"/>
    <w:rsid w:val="0093300F"/>
    <w:rsid w:val="00A77052"/>
    <w:rsid w:val="00AA2C5E"/>
    <w:rsid w:val="00AC6658"/>
    <w:rsid w:val="00B303B5"/>
    <w:rsid w:val="00B43A10"/>
    <w:rsid w:val="00BD0F1C"/>
    <w:rsid w:val="00BE22D2"/>
    <w:rsid w:val="00BF1600"/>
    <w:rsid w:val="00C61EC8"/>
    <w:rsid w:val="00C7071B"/>
    <w:rsid w:val="00C76142"/>
    <w:rsid w:val="00D964CA"/>
    <w:rsid w:val="00EF683D"/>
    <w:rsid w:val="00F6386A"/>
    <w:rsid w:val="00FB254D"/>
    <w:rsid w:val="00FE50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DF06"/>
  <w15:docId w15:val="{1756FD80-80F3-4FC6-A3AC-084261E9B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es-E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40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40409"/>
  </w:style>
  <w:style w:type="paragraph" w:customStyle="1" w:styleId="Heading">
    <w:name w:val="Heading"/>
    <w:basedOn w:val="Standard"/>
    <w:next w:val="Textbody"/>
    <w:rsid w:val="00340409"/>
    <w:pPr>
      <w:keepNext/>
      <w:spacing w:before="240" w:after="120"/>
    </w:pPr>
    <w:rPr>
      <w:rFonts w:ascii="Liberation Sans" w:eastAsia="Microsoft YaHei" w:hAnsi="Liberation Sans"/>
      <w:sz w:val="28"/>
      <w:szCs w:val="28"/>
    </w:rPr>
  </w:style>
  <w:style w:type="paragraph" w:customStyle="1" w:styleId="Textbody">
    <w:name w:val="Text body"/>
    <w:basedOn w:val="Standard"/>
    <w:rsid w:val="00340409"/>
    <w:pPr>
      <w:spacing w:after="140" w:line="276" w:lineRule="auto"/>
    </w:pPr>
  </w:style>
  <w:style w:type="paragraph" w:styleId="Lista">
    <w:name w:val="List"/>
    <w:basedOn w:val="Textbody"/>
    <w:rsid w:val="00340409"/>
  </w:style>
  <w:style w:type="paragraph" w:styleId="Descripcin">
    <w:name w:val="caption"/>
    <w:basedOn w:val="Standard"/>
    <w:rsid w:val="00340409"/>
    <w:pPr>
      <w:suppressLineNumbers/>
      <w:spacing w:before="120" w:after="120"/>
    </w:pPr>
    <w:rPr>
      <w:i/>
      <w:iCs/>
    </w:rPr>
  </w:style>
  <w:style w:type="paragraph" w:customStyle="1" w:styleId="Index">
    <w:name w:val="Index"/>
    <w:basedOn w:val="Standard"/>
    <w:rsid w:val="00340409"/>
    <w:pPr>
      <w:suppressLineNumbers/>
    </w:pPr>
  </w:style>
  <w:style w:type="character" w:customStyle="1" w:styleId="StrongEmphasis">
    <w:name w:val="Strong Emphasis"/>
    <w:rsid w:val="00340409"/>
    <w:rPr>
      <w:b/>
      <w:bCs/>
    </w:rPr>
  </w:style>
  <w:style w:type="paragraph" w:customStyle="1" w:styleId="Default">
    <w:name w:val="Default"/>
    <w:rsid w:val="00432DDB"/>
    <w:pPr>
      <w:suppressAutoHyphens w:val="0"/>
      <w:autoSpaceDE w:val="0"/>
      <w:adjustRightInd w:val="0"/>
      <w:textAlignment w:val="auto"/>
    </w:pPr>
    <w:rPr>
      <w:rFonts w:ascii="Arial" w:hAnsi="Arial" w:cs="Arial"/>
      <w:color w:val="000000"/>
      <w:kern w:val="0"/>
      <w:lang w:bidi="ar-SA"/>
    </w:rPr>
  </w:style>
  <w:style w:type="character" w:styleId="Hipervnculo">
    <w:name w:val="Hyperlink"/>
    <w:basedOn w:val="Fuentedeprrafopredeter"/>
    <w:uiPriority w:val="99"/>
    <w:unhideWhenUsed/>
    <w:rsid w:val="008A1173"/>
    <w:rPr>
      <w:color w:val="0563C1" w:themeColor="hyperlink"/>
      <w:u w:val="single"/>
    </w:rPr>
  </w:style>
  <w:style w:type="character" w:styleId="Mencinsinresolver">
    <w:name w:val="Unresolved Mention"/>
    <w:basedOn w:val="Fuentedeprrafopredeter"/>
    <w:uiPriority w:val="99"/>
    <w:semiHidden/>
    <w:unhideWhenUsed/>
    <w:rsid w:val="008A1173"/>
    <w:rPr>
      <w:color w:val="605E5C"/>
      <w:shd w:val="clear" w:color="auto" w:fill="E1DFDD"/>
    </w:rPr>
  </w:style>
  <w:style w:type="character" w:styleId="nfasis">
    <w:name w:val="Emphasis"/>
    <w:basedOn w:val="Fuentedeprrafopredeter"/>
    <w:uiPriority w:val="20"/>
    <w:qFormat/>
    <w:rsid w:val="00291DB6"/>
    <w:rPr>
      <w:i/>
      <w:iCs/>
    </w:rPr>
  </w:style>
  <w:style w:type="paragraph" w:styleId="NormalWeb">
    <w:name w:val="Normal (Web)"/>
    <w:basedOn w:val="Normal"/>
    <w:uiPriority w:val="99"/>
    <w:semiHidden/>
    <w:unhideWhenUsed/>
    <w:rsid w:val="004120C3"/>
    <w:pPr>
      <w:suppressAutoHyphens w:val="0"/>
      <w:autoSpaceDN/>
      <w:spacing w:before="100" w:beforeAutospacing="1" w:after="100" w:afterAutospacing="1"/>
      <w:textAlignment w:val="auto"/>
    </w:pPr>
    <w:rPr>
      <w:rFonts w:ascii="Calibri" w:eastAsiaTheme="minorHAnsi" w:hAnsi="Calibri" w:cs="Calibri"/>
      <w:kern w:val="0"/>
      <w:sz w:val="22"/>
      <w:szCs w:val="22"/>
      <w:lang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288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ANALCPM@MAPA.ES" TargetMode="External"/><Relationship Id="rId3" Type="http://schemas.openxmlformats.org/officeDocument/2006/relationships/settings" Target="settings.xml"/><Relationship Id="rId7" Type="http://schemas.openxmlformats.org/officeDocument/2006/relationships/hyperlink" Target="mailto:SGPESCA@MAP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1155</TotalTime>
  <Pages>2</Pages>
  <Words>682</Words>
  <Characters>3757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CNH CNH</cp:lastModifiedBy>
  <cp:revision>6</cp:revision>
  <dcterms:created xsi:type="dcterms:W3CDTF">2021-05-06T13:34:00Z</dcterms:created>
  <dcterms:modified xsi:type="dcterms:W3CDTF">2021-05-07T20:29:00Z</dcterms:modified>
</cp:coreProperties>
</file>